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BB63" w14:textId="1138FC4B" w:rsidR="00321421" w:rsidRPr="00321421" w:rsidRDefault="00321421" w:rsidP="00321421">
      <w:pPr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321421">
        <w:rPr>
          <w:rFonts w:ascii="Times New Roman" w:eastAsia="Times New Roman" w:hAnsi="Times New Roman" w:cs="Times New Roman"/>
          <w:b/>
          <w:lang w:val="en-US" w:eastAsia="it-IT"/>
        </w:rPr>
        <w:t xml:space="preserve">Procedure for applying to </w:t>
      </w:r>
      <w:r w:rsidRPr="004C2A63">
        <w:rPr>
          <w:rFonts w:ascii="Times New Roman" w:eastAsia="Times New Roman" w:hAnsi="Times New Roman" w:cs="Times New Roman"/>
          <w:b/>
          <w:lang w:val="en-US" w:eastAsia="it-IT"/>
        </w:rPr>
        <w:t>MED</w:t>
      </w:r>
      <w:r w:rsidRPr="00321421">
        <w:rPr>
          <w:rFonts w:ascii="Times New Roman" w:eastAsia="Times New Roman" w:hAnsi="Times New Roman" w:cs="Times New Roman"/>
          <w:b/>
          <w:lang w:val="en-US" w:eastAsia="it-IT"/>
        </w:rPr>
        <w:t xml:space="preserve"> Courses </w:t>
      </w:r>
      <w:r w:rsidRPr="004C2A63">
        <w:rPr>
          <w:rFonts w:ascii="Times New Roman" w:eastAsia="Times New Roman" w:hAnsi="Times New Roman" w:cs="Times New Roman"/>
          <w:b/>
          <w:lang w:val="en-US" w:eastAsia="it-IT"/>
        </w:rPr>
        <w:t>a</w:t>
      </w:r>
      <w:r w:rsidRPr="00321421">
        <w:rPr>
          <w:rFonts w:ascii="Times New Roman" w:eastAsia="Times New Roman" w:hAnsi="Times New Roman" w:cs="Times New Roman"/>
          <w:b/>
          <w:lang w:val="en-US" w:eastAsia="it-IT"/>
        </w:rPr>
        <w:t>cademic year 202</w:t>
      </w:r>
      <w:r w:rsidR="00A37100">
        <w:rPr>
          <w:rFonts w:ascii="Times New Roman" w:eastAsia="Times New Roman" w:hAnsi="Times New Roman" w:cs="Times New Roman"/>
          <w:b/>
          <w:lang w:val="en-US" w:eastAsia="it-IT"/>
        </w:rPr>
        <w:t>6</w:t>
      </w:r>
      <w:r w:rsidRPr="00321421">
        <w:rPr>
          <w:rFonts w:ascii="Times New Roman" w:eastAsia="Times New Roman" w:hAnsi="Times New Roman" w:cs="Times New Roman"/>
          <w:b/>
          <w:lang w:val="en-US" w:eastAsia="it-IT"/>
        </w:rPr>
        <w:t>/202</w:t>
      </w:r>
      <w:r w:rsidR="00A37100">
        <w:rPr>
          <w:rFonts w:ascii="Times New Roman" w:eastAsia="Times New Roman" w:hAnsi="Times New Roman" w:cs="Times New Roman"/>
          <w:b/>
          <w:lang w:val="en-US" w:eastAsia="it-IT"/>
        </w:rPr>
        <w:t>7</w:t>
      </w:r>
    </w:p>
    <w:p w14:paraId="373E899A" w14:textId="77777777" w:rsidR="00907B4B" w:rsidRPr="004C2A63" w:rsidRDefault="00907B4B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5319B1B" w14:textId="77777777" w:rsidR="00321421" w:rsidRPr="004C2A63" w:rsidRDefault="00321421" w:rsidP="00321421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lang w:val="en-US" w:eastAsia="en-US"/>
        </w:rPr>
      </w:pPr>
      <w:r w:rsidRPr="004C2A63">
        <w:rPr>
          <w:rFonts w:eastAsiaTheme="minorHAnsi"/>
          <w:color w:val="000000"/>
          <w:sz w:val="22"/>
          <w:szCs w:val="22"/>
          <w:lang w:val="en-US" w:eastAsia="en-US"/>
        </w:rPr>
        <w:t xml:space="preserve">MED courses are provided by the School of Medicine of </w:t>
      </w:r>
      <w:r w:rsidRPr="004C2A63">
        <w:rPr>
          <w:rFonts w:eastAsiaTheme="minorHAnsi"/>
          <w:i/>
          <w:color w:val="000000"/>
          <w:sz w:val="22"/>
          <w:szCs w:val="22"/>
          <w:lang w:val="en-US" w:eastAsia="en-US"/>
        </w:rPr>
        <w:t>Università degli Studi di Milano</w:t>
      </w:r>
      <w:r w:rsidRPr="004C2A63">
        <w:rPr>
          <w:rFonts w:eastAsiaTheme="minorHAnsi"/>
          <w:color w:val="000000"/>
          <w:sz w:val="22"/>
          <w:szCs w:val="22"/>
          <w:lang w:val="en-US" w:eastAsia="en-US"/>
        </w:rPr>
        <w:t xml:space="preserve"> in Milano. The courses have a limited number of </w:t>
      </w:r>
      <w:r w:rsidR="00A84F2F">
        <w:rPr>
          <w:rFonts w:eastAsiaTheme="minorHAnsi"/>
          <w:color w:val="000000"/>
          <w:sz w:val="22"/>
          <w:szCs w:val="22"/>
          <w:lang w:val="en-US" w:eastAsia="en-US"/>
        </w:rPr>
        <w:t>places</w:t>
      </w:r>
      <w:r w:rsidRPr="004C2A63">
        <w:rPr>
          <w:rFonts w:eastAsiaTheme="minorHAnsi"/>
          <w:color w:val="000000"/>
          <w:sz w:val="22"/>
          <w:szCs w:val="22"/>
          <w:lang w:val="en-US" w:eastAsia="en-US"/>
        </w:rPr>
        <w:t xml:space="preserve"> reserved for the students enrolled at MSc in Biomedical Engineering. </w:t>
      </w:r>
      <w:r w:rsidR="008037C6" w:rsidRPr="004C2A63">
        <w:rPr>
          <w:rFonts w:eastAsiaTheme="minorHAnsi"/>
          <w:color w:val="000000"/>
          <w:sz w:val="22"/>
          <w:szCs w:val="22"/>
          <w:u w:val="single"/>
          <w:lang w:val="en-US" w:eastAsia="en-US"/>
        </w:rPr>
        <w:t>The courses are taught in Italian.</w:t>
      </w:r>
      <w:r w:rsidR="008037C6" w:rsidRPr="004C2A63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r w:rsidRPr="004C2A63">
        <w:rPr>
          <w:rFonts w:eastAsiaTheme="minorHAnsi"/>
          <w:color w:val="000000"/>
          <w:sz w:val="22"/>
          <w:szCs w:val="22"/>
          <w:lang w:val="en-US" w:eastAsia="en-US"/>
        </w:rPr>
        <w:t>All the MED courses are taught in three different hos</w:t>
      </w:r>
      <w:r w:rsidR="008037C6" w:rsidRPr="004C2A63">
        <w:rPr>
          <w:rFonts w:eastAsiaTheme="minorHAnsi"/>
          <w:color w:val="000000"/>
          <w:sz w:val="22"/>
          <w:szCs w:val="22"/>
          <w:lang w:val="en-US" w:eastAsia="en-US"/>
        </w:rPr>
        <w:t>p</w:t>
      </w:r>
      <w:r w:rsidRPr="004C2A63">
        <w:rPr>
          <w:rFonts w:eastAsiaTheme="minorHAnsi"/>
          <w:color w:val="000000"/>
          <w:sz w:val="22"/>
          <w:szCs w:val="22"/>
          <w:lang w:val="en-US" w:eastAsia="en-US"/>
        </w:rPr>
        <w:t xml:space="preserve">itals in Milan: </w:t>
      </w:r>
      <w:r w:rsidRPr="00000684">
        <w:rPr>
          <w:b/>
          <w:bCs/>
          <w:color w:val="000000"/>
          <w:sz w:val="22"/>
          <w:szCs w:val="22"/>
          <w:lang w:val="en-US"/>
        </w:rPr>
        <w:t xml:space="preserve">Ospedale San </w:t>
      </w:r>
      <w:proofErr w:type="gramStart"/>
      <w:r w:rsidRPr="00000684">
        <w:rPr>
          <w:b/>
          <w:bCs/>
          <w:color w:val="000000"/>
          <w:sz w:val="22"/>
          <w:szCs w:val="22"/>
          <w:lang w:val="en-US"/>
        </w:rPr>
        <w:t>Paolo(</w:t>
      </w:r>
      <w:proofErr w:type="gramEnd"/>
      <w:r w:rsidRPr="00000684">
        <w:rPr>
          <w:b/>
          <w:bCs/>
          <w:color w:val="000000"/>
          <w:sz w:val="22"/>
          <w:szCs w:val="22"/>
          <w:lang w:val="en-US"/>
        </w:rPr>
        <w:t>OSP), Ospedale Luigi Sacco (OLS) e Policlinico (OPL)</w:t>
      </w:r>
      <w:r w:rsidRPr="004C2A63">
        <w:rPr>
          <w:color w:val="000000"/>
          <w:sz w:val="22"/>
          <w:szCs w:val="22"/>
          <w:lang w:val="en-US"/>
        </w:rPr>
        <w:t>. Some courses are taught in one hospital only, see the table below.</w:t>
      </w:r>
    </w:p>
    <w:p w14:paraId="0B184390" w14:textId="77777777" w:rsidR="00321421" w:rsidRPr="004C2A63" w:rsidRDefault="00321421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The selection of a specific hospital center will be taken into consideration but not guaranteed as the tutor of each course will distribute the students in the different center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in order to meet the available places. The students should successively 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ask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about the modality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and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the schedule of the MED course enrolled at.</w:t>
      </w:r>
    </w:p>
    <w:p w14:paraId="3CE49C64" w14:textId="77777777" w:rsidR="00321421" w:rsidRPr="004C2A63" w:rsidRDefault="0032142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9508132" w14:textId="77777777" w:rsidR="00321421" w:rsidRPr="004C2A63" w:rsidRDefault="00321421" w:rsidP="0032142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Procedure for applying.</w:t>
      </w:r>
    </w:p>
    <w:p w14:paraId="10791EFA" w14:textId="77777777" w:rsidR="00321421" w:rsidRPr="004C2A63" w:rsidRDefault="00321421" w:rsidP="0032142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In the next page you can find the form. You have to fill the form and send it to the</w:t>
      </w:r>
      <w:r w:rsidR="00031A90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Secretariat of Biomedical Engineering 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by email </w:t>
      </w:r>
      <w:hyperlink r:id="rId5" w:history="1">
        <w:r w:rsidRPr="004C2A63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didattica-deib@polimi.it</w:t>
        </w:r>
      </w:hyperlink>
      <w:r w:rsidRPr="004C2A6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1A61F0F" w14:textId="77777777" w:rsidR="00321421" w:rsidRPr="004C2A63" w:rsidRDefault="0032142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D024BCE" w14:textId="77777777" w:rsidR="00031A90" w:rsidRPr="004C2A63" w:rsidRDefault="00031A90" w:rsidP="00031A9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Ranking criteria</w:t>
      </w:r>
    </w:p>
    <w:p w14:paraId="4C22F102" w14:textId="77777777" w:rsidR="00031A90" w:rsidRPr="004C2A63" w:rsidRDefault="00031A90" w:rsidP="00031A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The student ranking for th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e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admission to MED cours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es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will be defined according to the following criteria (in descending ordering of importance):</w:t>
      </w:r>
    </w:p>
    <w:p w14:paraId="7384A507" w14:textId="77777777" w:rsidR="00031A90" w:rsidRPr="004C2A63" w:rsidRDefault="00031A90" w:rsidP="00031A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number of semesters spent at the master</w:t>
      </w:r>
    </w:p>
    <w:p w14:paraId="42BBEC70" w14:textId="77777777" w:rsidR="00031A90" w:rsidRPr="004C2A63" w:rsidRDefault="00A84F2F" w:rsidP="00031A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Bachelor </w:t>
      </w:r>
      <w:r w:rsidR="005C077E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degree mark</w:t>
      </w:r>
      <w:r w:rsidR="00031A90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</w:p>
    <w:p w14:paraId="3E6A57EF" w14:textId="77777777" w:rsidR="00031A90" w:rsidRPr="004C2A63" w:rsidRDefault="00031A90" w:rsidP="00031A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in case </w:t>
      </w:r>
      <w:r w:rsidR="005C077E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of equal merit, other data will be considered (number of credits acquired and secondary the average grade)</w:t>
      </w:r>
    </w:p>
    <w:p w14:paraId="10BC3E19" w14:textId="02A8779C" w:rsidR="005C077E" w:rsidRPr="004C2A63" w:rsidRDefault="005C077E" w:rsidP="005C077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The students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who have already attended one MED course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can attend a MED course only in case of available places. A </w:t>
      </w:r>
      <w:r w:rsidR="00031A90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student can refuse the 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MED</w:t>
      </w:r>
      <w:r w:rsidR="00031A90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course assigned by sending an email 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 the 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Stu</w:t>
      </w:r>
      <w:r w:rsidR="00000684">
        <w:rPr>
          <w:rFonts w:ascii="Times New Roman" w:hAnsi="Times New Roman" w:cs="Times New Roman"/>
          <w:color w:val="000000"/>
          <w:sz w:val="22"/>
          <w:szCs w:val="22"/>
          <w:lang w:val="en-US"/>
        </w:rPr>
        <w:t>d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e</w:t>
      </w:r>
      <w:r w:rsidR="00000684">
        <w:rPr>
          <w:rFonts w:ascii="Times New Roman" w:hAnsi="Times New Roman" w:cs="Times New Roman"/>
          <w:color w:val="000000"/>
          <w:sz w:val="22"/>
          <w:szCs w:val="22"/>
          <w:lang w:val="en-US"/>
        </w:rPr>
        <w:t>n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 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Secretariat (</w:t>
      </w:r>
      <w:hyperlink r:id="rId6" w:history="1">
        <w:r w:rsidRPr="004C2A63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didattica-deib@polimi.it</w:t>
        </w:r>
      </w:hyperlink>
      <w:r w:rsidRPr="004C2A63">
        <w:rPr>
          <w:rFonts w:ascii="Times New Roman" w:hAnsi="Times New Roman" w:cs="Times New Roman"/>
          <w:sz w:val="22"/>
          <w:szCs w:val="22"/>
          <w:lang w:val="en-US"/>
        </w:rPr>
        <w:t xml:space="preserve"> ). When a MED course is refused, the student can’t attend it anymore.</w:t>
      </w:r>
    </w:p>
    <w:p w14:paraId="20A7097E" w14:textId="77777777" w:rsidR="005C077E" w:rsidRPr="004C2A63" w:rsidRDefault="005C077E" w:rsidP="005C077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The student, who will not communicate the refusal of the assigned course, has to include the MED course in the study plan within the deadline. If a student will not include the assigned MED course in the study plan, this fact will penalize the student in the future ranking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s.</w:t>
      </w:r>
    </w:p>
    <w:p w14:paraId="4323FA65" w14:textId="77777777" w:rsidR="00031A90" w:rsidRPr="004C2A63" w:rsidRDefault="00031A9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649C371" w14:textId="77777777" w:rsidR="005C077E" w:rsidRDefault="005C077E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b/>
          <w:sz w:val="22"/>
          <w:szCs w:val="22"/>
          <w:lang w:val="en-US"/>
        </w:rPr>
        <w:t>Deadlines</w:t>
      </w:r>
    </w:p>
    <w:p w14:paraId="66DB9C37" w14:textId="77777777" w:rsidR="00A84F2F" w:rsidRPr="004C2A63" w:rsidRDefault="00A84F2F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5C077E" w:rsidRPr="00021A9D" w14:paraId="44B2211E" w14:textId="77777777" w:rsidTr="00071564">
        <w:tc>
          <w:tcPr>
            <w:tcW w:w="2689" w:type="dxa"/>
          </w:tcPr>
          <w:p w14:paraId="1204E5D7" w14:textId="76EF1E72" w:rsidR="005C077E" w:rsidRPr="004C2A63" w:rsidRDefault="00822A5B" w:rsidP="00071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From </w:t>
            </w:r>
            <w:r w:rsidR="00CF627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</w:t>
            </w:r>
            <w:r w:rsidR="00A3710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5</w:t>
            </w:r>
            <w:r w:rsidR="005C077E" w:rsidRPr="004C2A6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/08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to</w:t>
            </w:r>
            <w:r w:rsidR="005C077E" w:rsidRPr="004C2A6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A3710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31/08</w:t>
            </w:r>
          </w:p>
        </w:tc>
        <w:tc>
          <w:tcPr>
            <w:tcW w:w="6933" w:type="dxa"/>
          </w:tcPr>
          <w:p w14:paraId="60F2263F" w14:textId="77777777" w:rsidR="005C077E" w:rsidRPr="004C2A63" w:rsidRDefault="005C077E" w:rsidP="00071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Th</w:t>
            </w:r>
            <w:r w:rsidR="008037C6"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student should send the form by email to t</w:t>
            </w:r>
            <w:r w:rsidR="008037C6"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he Student </w:t>
            </w:r>
            <w:r w:rsidR="00A84F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</w:t>
            </w:r>
            <w:r w:rsidR="008037C6"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ecretariat or in person to the student office. </w:t>
            </w:r>
          </w:p>
        </w:tc>
      </w:tr>
      <w:tr w:rsidR="005C077E" w:rsidRPr="00021A9D" w14:paraId="1E3E91DD" w14:textId="77777777" w:rsidTr="00071564">
        <w:tc>
          <w:tcPr>
            <w:tcW w:w="2689" w:type="dxa"/>
          </w:tcPr>
          <w:p w14:paraId="60F5CCD1" w14:textId="411C68C8" w:rsidR="00A37100" w:rsidRPr="004C2A63" w:rsidRDefault="00A37100" w:rsidP="00071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021A9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07/09 </w:t>
            </w:r>
          </w:p>
          <w:p w14:paraId="284B9961" w14:textId="0C3ED172" w:rsidR="005C077E" w:rsidRPr="004C2A63" w:rsidRDefault="005C077E" w:rsidP="00071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933" w:type="dxa"/>
          </w:tcPr>
          <w:p w14:paraId="7747F2E7" w14:textId="77777777" w:rsidR="005C077E" w:rsidRPr="004C2A63" w:rsidRDefault="008037C6" w:rsidP="00071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Publication of the student ranking </w:t>
            </w:r>
            <w:r w:rsidR="00A84F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on</w:t>
            </w: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the website </w:t>
            </w:r>
            <w:proofErr w:type="gramStart"/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ccsbio.polimi.it</w:t>
            </w:r>
            <w:r w:rsidR="00A84F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in</w:t>
            </w:r>
            <w:proofErr w:type="gramEnd"/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the news section.</w:t>
            </w:r>
          </w:p>
        </w:tc>
      </w:tr>
    </w:tbl>
    <w:p w14:paraId="616E8E32" w14:textId="77777777" w:rsidR="005C077E" w:rsidRPr="004C2A63" w:rsidRDefault="005C07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951F5DE" w14:textId="77777777" w:rsidR="008037C6" w:rsidRPr="004C2A63" w:rsidRDefault="008037C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14:paraId="08524076" w14:textId="58F46D9C" w:rsidR="008037C6" w:rsidRPr="004C2A63" w:rsidRDefault="008037C6" w:rsidP="008037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lastRenderedPageBreak/>
        <w:t xml:space="preserve">Application form for the MED courses- </w:t>
      </w:r>
      <w:proofErr w:type="spellStart"/>
      <w:r w:rsidR="00822A5B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a.y</w:t>
      </w:r>
      <w:proofErr w:type="spellEnd"/>
      <w:r w:rsidR="00822A5B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.</w:t>
      </w:r>
      <w:r w:rsidRPr="004C2A6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202</w:t>
      </w:r>
      <w:r w:rsidR="00A37100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6</w:t>
      </w:r>
      <w:r w:rsidRPr="004C2A63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/2</w:t>
      </w:r>
      <w:r w:rsidR="00A37100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7</w:t>
      </w:r>
    </w:p>
    <w:p w14:paraId="567F972D" w14:textId="77777777" w:rsidR="008037C6" w:rsidRPr="004C2A63" w:rsidRDefault="008037C6" w:rsidP="008037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</w:p>
    <w:p w14:paraId="77D78EE8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Surname __________________________________ Name____________________________________</w:t>
      </w:r>
    </w:p>
    <w:p w14:paraId="23925A43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Identification number _________________________ Phone number _________________________</w:t>
      </w:r>
    </w:p>
    <w:p w14:paraId="409D791B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Degree mark of Bachelor ___________________</w:t>
      </w:r>
    </w:p>
    <w:p w14:paraId="743BE68F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908EF6A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When did you enroll at the Master degree?</w:t>
      </w:r>
    </w:p>
    <w:p w14:paraId="26D58BE7" w14:textId="78678D53" w:rsidR="004C2A63" w:rsidRPr="004C2A63" w:rsidRDefault="004C2A63" w:rsidP="004C2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autumn 20</w:t>
      </w:r>
      <w:r w:rsidR="00BD254D">
        <w:rPr>
          <w:rFonts w:ascii="Times New Roman" w:hAnsi="Times New Roman" w:cs="Times New Roman"/>
          <w:color w:val="000000"/>
          <w:sz w:val="22"/>
          <w:szCs w:val="22"/>
          <w:lang w:val="en-US"/>
        </w:rPr>
        <w:t>2</w:t>
      </w:r>
      <w:r w:rsidR="00A37100"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</w:p>
    <w:p w14:paraId="6964E0F3" w14:textId="6AC90982" w:rsidR="008037C6" w:rsidRPr="004C2A63" w:rsidRDefault="008037C6" w:rsidP="008037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spring 20</w:t>
      </w:r>
      <w:r w:rsidR="00BD254D">
        <w:rPr>
          <w:rFonts w:ascii="Times New Roman" w:hAnsi="Times New Roman" w:cs="Times New Roman"/>
          <w:color w:val="000000"/>
          <w:sz w:val="22"/>
          <w:szCs w:val="22"/>
          <w:lang w:val="en-US"/>
        </w:rPr>
        <w:t>2</w:t>
      </w:r>
      <w:r w:rsidR="00A37100"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</w:p>
    <w:p w14:paraId="5E16C7C8" w14:textId="408F85D1" w:rsidR="008037C6" w:rsidRPr="004C2A63" w:rsidRDefault="008037C6" w:rsidP="008037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autumn 20</w:t>
      </w:r>
      <w:r w:rsidR="00BD254D">
        <w:rPr>
          <w:rFonts w:ascii="Times New Roman" w:hAnsi="Times New Roman" w:cs="Times New Roman"/>
          <w:color w:val="000000"/>
          <w:sz w:val="22"/>
          <w:szCs w:val="22"/>
          <w:lang w:val="en-US"/>
        </w:rPr>
        <w:t>2</w:t>
      </w:r>
      <w:r w:rsidR="00A37100">
        <w:rPr>
          <w:rFonts w:ascii="Times New Roman" w:hAnsi="Times New Roman" w:cs="Times New Roman"/>
          <w:color w:val="000000"/>
          <w:sz w:val="22"/>
          <w:szCs w:val="22"/>
          <w:lang w:val="en-US"/>
        </w:rPr>
        <w:t>5</w:t>
      </w:r>
    </w:p>
    <w:p w14:paraId="2AFB2703" w14:textId="69E857D4" w:rsidR="004C2A63" w:rsidRPr="004C2A63" w:rsidRDefault="004C2A63" w:rsidP="004C2A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spring 20</w:t>
      </w:r>
      <w:r w:rsidR="00BD254D">
        <w:rPr>
          <w:rFonts w:ascii="Times New Roman" w:hAnsi="Times New Roman" w:cs="Times New Roman"/>
          <w:color w:val="000000"/>
          <w:sz w:val="22"/>
          <w:szCs w:val="22"/>
          <w:lang w:val="en-US"/>
        </w:rPr>
        <w:t>2</w:t>
      </w:r>
      <w:r w:rsidR="00A37100">
        <w:rPr>
          <w:rFonts w:ascii="Times New Roman" w:hAnsi="Times New Roman" w:cs="Times New Roman"/>
          <w:color w:val="000000"/>
          <w:sz w:val="22"/>
          <w:szCs w:val="22"/>
          <w:lang w:val="en-US"/>
        </w:rPr>
        <w:t>5</w:t>
      </w:r>
    </w:p>
    <w:p w14:paraId="00147263" w14:textId="37160356" w:rsidR="008037C6" w:rsidRPr="004C2A63" w:rsidRDefault="008037C6" w:rsidP="008037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autumn 20</w:t>
      </w:r>
      <w:r w:rsidR="00822A5B">
        <w:rPr>
          <w:rFonts w:ascii="Times New Roman" w:hAnsi="Times New Roman" w:cs="Times New Roman"/>
          <w:color w:val="000000"/>
          <w:sz w:val="22"/>
          <w:szCs w:val="22"/>
          <w:lang w:val="en-US"/>
        </w:rPr>
        <w:t>2</w:t>
      </w:r>
      <w:r w:rsidR="00A37100">
        <w:rPr>
          <w:rFonts w:ascii="Times New Roman" w:hAnsi="Times New Roman" w:cs="Times New Roman"/>
          <w:color w:val="000000"/>
          <w:sz w:val="22"/>
          <w:szCs w:val="22"/>
          <w:lang w:val="en-US"/>
        </w:rPr>
        <w:t>4</w:t>
      </w:r>
      <w:r w:rsidR="00C17F7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or before</w:t>
      </w:r>
    </w:p>
    <w:p w14:paraId="2B7500B4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2A8D0D5" w14:textId="77777777" w:rsidR="008037C6" w:rsidRPr="004C2A63" w:rsidRDefault="004C2A63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Have you already </w:t>
      </w:r>
      <w:proofErr w:type="gramStart"/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attend</w:t>
      </w:r>
      <w:proofErr w:type="gramEnd"/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MED course</w:t>
      </w:r>
      <w:r w:rsidR="008037C6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?</w:t>
      </w:r>
    </w:p>
    <w:p w14:paraId="616061E1" w14:textId="77777777" w:rsidR="008037C6" w:rsidRPr="004C2A63" w:rsidRDefault="008037C6" w:rsidP="00803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NO </w:t>
      </w:r>
    </w:p>
    <w:p w14:paraId="4997E129" w14:textId="77777777" w:rsidR="008037C6" w:rsidRPr="004C2A63" w:rsidRDefault="004C2A63" w:rsidP="00803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YES</w:t>
      </w:r>
      <w:r w:rsidR="008037C6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please sign it with the letter F in the table below</w:t>
      </w:r>
      <w:r w:rsidR="008037C6"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</w:p>
    <w:p w14:paraId="62A5B55D" w14:textId="77777777" w:rsidR="008037C6" w:rsidRPr="004C2A63" w:rsidRDefault="008037C6" w:rsidP="008037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tbl>
      <w:tblPr>
        <w:tblStyle w:val="Grigliatabella"/>
        <w:tblW w:w="9784" w:type="dxa"/>
        <w:tblLayout w:type="fixed"/>
        <w:tblLook w:val="04A0" w:firstRow="1" w:lastRow="0" w:firstColumn="1" w:lastColumn="0" w:noHBand="0" w:noVBand="1"/>
      </w:tblPr>
      <w:tblGrid>
        <w:gridCol w:w="1024"/>
        <w:gridCol w:w="5208"/>
        <w:gridCol w:w="1384"/>
        <w:gridCol w:w="730"/>
        <w:gridCol w:w="742"/>
        <w:gridCol w:w="696"/>
      </w:tblGrid>
      <w:tr w:rsidR="008037C6" w:rsidRPr="004C2A63" w14:paraId="24432D5E" w14:textId="77777777" w:rsidTr="00DB2034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0A2B97F7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Semeste</w:t>
            </w:r>
            <w:r w:rsidR="004C2A63"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5208" w:type="dxa"/>
            <w:tcMar>
              <w:left w:w="57" w:type="dxa"/>
              <w:right w:w="57" w:type="dxa"/>
            </w:tcMar>
          </w:tcPr>
          <w:p w14:paraId="457196C7" w14:textId="77777777" w:rsidR="008037C6" w:rsidRPr="004C2A63" w:rsidRDefault="004C2A63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</w:tcPr>
          <w:p w14:paraId="31B2250A" w14:textId="77777777" w:rsidR="008037C6" w:rsidRPr="004C2A63" w:rsidRDefault="00DB2034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Preference ranking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br/>
              <w:t>(from 1 to 5)</w:t>
            </w: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1A43B4D2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OSP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327C9B01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OLS</w:t>
            </w:r>
          </w:p>
        </w:tc>
        <w:tc>
          <w:tcPr>
            <w:tcW w:w="696" w:type="dxa"/>
            <w:tcMar>
              <w:left w:w="57" w:type="dxa"/>
              <w:right w:w="57" w:type="dxa"/>
            </w:tcMar>
          </w:tcPr>
          <w:p w14:paraId="71535079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C2A6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OPL</w:t>
            </w:r>
          </w:p>
        </w:tc>
      </w:tr>
      <w:tr w:rsidR="003065E6" w:rsidRPr="004C2A63" w14:paraId="6C9776D8" w14:textId="77777777" w:rsidTr="00822A5B">
        <w:trPr>
          <w:trHeight w:val="340"/>
        </w:trPr>
        <w:tc>
          <w:tcPr>
            <w:tcW w:w="10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3028EB" w14:textId="77777777" w:rsidR="003065E6" w:rsidRPr="00000684" w:rsidRDefault="003065E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2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9E9AF0" w14:textId="77777777" w:rsidR="003065E6" w:rsidRPr="00822A5B" w:rsidRDefault="003065E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22A5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Clinica ortopedica e </w:t>
            </w:r>
            <w:proofErr w:type="spellStart"/>
            <w:r w:rsidRPr="00822A5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traumatological</w:t>
            </w:r>
            <w:proofErr w:type="spellEnd"/>
            <w:r w:rsidRPr="00822A5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(OPL </w:t>
            </w:r>
            <w:proofErr w:type="spellStart"/>
            <w:r w:rsidRPr="00822A5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only</w:t>
            </w:r>
            <w:proofErr w:type="spellEnd"/>
            <w:r w:rsidRPr="00822A5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A9B50" w14:textId="77777777" w:rsidR="003065E6" w:rsidRPr="00822A5B" w:rsidRDefault="003065E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511539C2" w14:textId="77777777" w:rsidR="003065E6" w:rsidRPr="00822A5B" w:rsidRDefault="003065E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36559E52" w14:textId="77777777" w:rsidR="003065E6" w:rsidRPr="00822A5B" w:rsidRDefault="003065E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77746" w14:textId="77777777" w:rsidR="003065E6" w:rsidRPr="00822A5B" w:rsidRDefault="003065E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37C6" w:rsidRPr="004C2A63" w14:paraId="55DFA81A" w14:textId="77777777" w:rsidTr="00822A5B">
        <w:trPr>
          <w:trHeight w:val="340"/>
        </w:trPr>
        <w:tc>
          <w:tcPr>
            <w:tcW w:w="10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B72213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2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A2F211" w14:textId="77777777" w:rsidR="008037C6" w:rsidRPr="00184D17" w:rsidRDefault="008037C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Malattie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sistema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nervoso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2D54BC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892FB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22CB6334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A98852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8037C6" w:rsidRPr="00ED2CCA" w14:paraId="5A72E67A" w14:textId="77777777" w:rsidTr="00822A5B">
        <w:trPr>
          <w:trHeight w:val="340"/>
        </w:trPr>
        <w:tc>
          <w:tcPr>
            <w:tcW w:w="102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040C018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20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F16199B" w14:textId="77777777" w:rsidR="008037C6" w:rsidRPr="00184D17" w:rsidRDefault="008037C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Diagnostica per immagini e radioterapia (OLS</w:t>
            </w:r>
            <w:r w:rsidR="003065E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and OPL)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DE134B1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63AF22F2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0DC840A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36C26394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37C6" w:rsidRPr="00ED2CCA" w14:paraId="78B963E1" w14:textId="77777777" w:rsidTr="00822A5B">
        <w:trPr>
          <w:trHeight w:val="340"/>
        </w:trPr>
        <w:tc>
          <w:tcPr>
            <w:tcW w:w="102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500BBA1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20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082AB2C9" w14:textId="77777777" w:rsidR="008037C6" w:rsidRPr="00184D17" w:rsidRDefault="008037C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Clinica ostetrica e ginecologica (OLS</w:t>
            </w:r>
            <w:r w:rsidR="00ED2CCA"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D2CCA"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only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69196B56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0F37A36D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648556A0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14:paraId="6A5923A5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37C6" w:rsidRPr="004C2A63" w14:paraId="670DBB9A" w14:textId="77777777" w:rsidTr="00822A5B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7B39A100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208" w:type="dxa"/>
            <w:tcMar>
              <w:left w:w="57" w:type="dxa"/>
              <w:right w:w="57" w:type="dxa"/>
            </w:tcMar>
          </w:tcPr>
          <w:p w14:paraId="6CE27D5A" w14:textId="77777777" w:rsidR="008037C6" w:rsidRPr="00184D17" w:rsidRDefault="008037C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Clinica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ortopedica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traumatologica</w:t>
            </w:r>
            <w:proofErr w:type="spellEnd"/>
          </w:p>
        </w:tc>
        <w:tc>
          <w:tcPr>
            <w:tcW w:w="1384" w:type="dxa"/>
            <w:tcMar>
              <w:left w:w="57" w:type="dxa"/>
              <w:right w:w="57" w:type="dxa"/>
            </w:tcMar>
          </w:tcPr>
          <w:p w14:paraId="47EFC561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5473F26E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7F2837C7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shd w:val="clear" w:color="auto" w:fill="000000" w:themeFill="text1"/>
            <w:tcMar>
              <w:left w:w="57" w:type="dxa"/>
              <w:right w:w="57" w:type="dxa"/>
            </w:tcMar>
          </w:tcPr>
          <w:p w14:paraId="44F0DAFB" w14:textId="77777777" w:rsidR="008037C6" w:rsidRPr="004C2A63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8037C6" w:rsidRPr="00ED2CCA" w14:paraId="356769D4" w14:textId="77777777" w:rsidTr="00822A5B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14E2FCC8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208" w:type="dxa"/>
            <w:tcMar>
              <w:left w:w="57" w:type="dxa"/>
              <w:right w:w="57" w:type="dxa"/>
            </w:tcMar>
          </w:tcPr>
          <w:p w14:paraId="63084578" w14:textId="77777777" w:rsidR="008037C6" w:rsidRPr="00184D17" w:rsidRDefault="008037C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Diagnostica per immagini e radioterapia I (OSP </w:t>
            </w:r>
            <w:proofErr w:type="spellStart"/>
            <w:r w:rsidR="00ED2CCA"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only</w:t>
            </w:r>
            <w:proofErr w:type="spellEnd"/>
            <w:r w:rsidRPr="00184D1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</w:tcPr>
          <w:p w14:paraId="4F5DEB01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610D5A1B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000000" w:themeFill="text1"/>
            <w:tcMar>
              <w:left w:w="57" w:type="dxa"/>
              <w:right w:w="57" w:type="dxa"/>
            </w:tcMar>
          </w:tcPr>
          <w:p w14:paraId="5846A85B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000000" w:themeFill="text1"/>
            <w:tcMar>
              <w:left w:w="57" w:type="dxa"/>
              <w:right w:w="57" w:type="dxa"/>
            </w:tcMar>
          </w:tcPr>
          <w:p w14:paraId="29B59023" w14:textId="77777777" w:rsidR="008037C6" w:rsidRPr="00ED2CCA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037C6" w:rsidRPr="004C2A63" w14:paraId="25BCEE9F" w14:textId="77777777" w:rsidTr="00DB2034">
        <w:trPr>
          <w:trHeight w:val="340"/>
        </w:trPr>
        <w:tc>
          <w:tcPr>
            <w:tcW w:w="1024" w:type="dxa"/>
            <w:tcMar>
              <w:left w:w="57" w:type="dxa"/>
              <w:right w:w="57" w:type="dxa"/>
            </w:tcMar>
          </w:tcPr>
          <w:p w14:paraId="5B53BF0F" w14:textId="77777777" w:rsidR="008037C6" w:rsidRPr="00000684" w:rsidRDefault="008037C6" w:rsidP="000006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06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208" w:type="dxa"/>
            <w:tcMar>
              <w:left w:w="57" w:type="dxa"/>
              <w:right w:w="57" w:type="dxa"/>
            </w:tcMar>
          </w:tcPr>
          <w:p w14:paraId="36D58282" w14:textId="77777777" w:rsidR="008037C6" w:rsidRPr="00A84F2F" w:rsidRDefault="008037C6" w:rsidP="00071564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A84F2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Semeiotica e patologia degli apparati I (apparato cardiovascolare)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</w:tcPr>
          <w:p w14:paraId="37FC89D2" w14:textId="77777777" w:rsidR="008037C6" w:rsidRPr="00A84F2F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14:paraId="6E4019E6" w14:textId="77777777" w:rsidR="008037C6" w:rsidRPr="00A84F2F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2C2E79E0" w14:textId="77777777" w:rsidR="008037C6" w:rsidRPr="00A84F2F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Mar>
              <w:left w:w="57" w:type="dxa"/>
              <w:right w:w="57" w:type="dxa"/>
            </w:tcMar>
          </w:tcPr>
          <w:p w14:paraId="0E0660D1" w14:textId="77777777" w:rsidR="008037C6" w:rsidRPr="00A84F2F" w:rsidRDefault="008037C6" w:rsidP="0007156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C1B022E" w14:textId="77777777" w:rsidR="008037C6" w:rsidRPr="00A84F2F" w:rsidRDefault="008037C6" w:rsidP="008037C6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32F964D" w14:textId="77777777" w:rsidR="008037C6" w:rsidRPr="00DB2034" w:rsidRDefault="00DB2034" w:rsidP="008037C6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DB2034">
        <w:rPr>
          <w:rFonts w:ascii="Times New Roman" w:hAnsi="Times New Roman" w:cs="Times New Roman"/>
          <w:color w:val="000000"/>
          <w:sz w:val="22"/>
          <w:szCs w:val="22"/>
          <w:lang w:val="en-US"/>
        </w:rPr>
        <w:t>Please, indicate in the table your preference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Pr="00DB203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from 1 (first choice) to 5 (last choice).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DB2034">
        <w:rPr>
          <w:rFonts w:ascii="Times New Roman" w:hAnsi="Times New Roman" w:cs="Times New Roman"/>
          <w:color w:val="000000"/>
          <w:sz w:val="22"/>
          <w:szCs w:val="22"/>
          <w:lang w:val="en-US"/>
        </w:rPr>
        <w:t>If you have already attended a course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 w:rsidRPr="00DB203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please indicate it with the letter F and 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use</w:t>
      </w:r>
      <w:r w:rsidRPr="00DB203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ranking scale from 1 to 4.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You can also indicate your preference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for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specific hospital center</w:t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although it will be not guaranteed. </w:t>
      </w:r>
    </w:p>
    <w:p w14:paraId="23A5B78E" w14:textId="77777777" w:rsidR="008037C6" w:rsidRPr="004C2A63" w:rsidRDefault="008037C6" w:rsidP="008037C6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77F832D" w14:textId="77777777" w:rsidR="008037C6" w:rsidRPr="004C2A63" w:rsidRDefault="008037C6" w:rsidP="008037C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>Data ___________________</w:t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4C2A63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A84F2F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DB2034">
        <w:rPr>
          <w:rFonts w:ascii="Times New Roman" w:hAnsi="Times New Roman" w:cs="Times New Roman"/>
          <w:color w:val="000000"/>
          <w:sz w:val="22"/>
          <w:szCs w:val="22"/>
          <w:lang w:val="en-US"/>
        </w:rPr>
        <w:t>Signature _____________________</w:t>
      </w:r>
    </w:p>
    <w:sectPr w:rsidR="008037C6" w:rsidRPr="004C2A63" w:rsidSect="008B719F">
      <w:pgSz w:w="11900" w:h="16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3CA1"/>
    <w:multiLevelType w:val="hybridMultilevel"/>
    <w:tmpl w:val="78FA8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6756"/>
    <w:multiLevelType w:val="hybridMultilevel"/>
    <w:tmpl w:val="5964A3EA"/>
    <w:lvl w:ilvl="0" w:tplc="B0C625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1604"/>
    <w:multiLevelType w:val="hybridMultilevel"/>
    <w:tmpl w:val="A010145C"/>
    <w:lvl w:ilvl="0" w:tplc="B0C625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21"/>
    <w:rsid w:val="00000684"/>
    <w:rsid w:val="00021A9D"/>
    <w:rsid w:val="00031A90"/>
    <w:rsid w:val="00184D17"/>
    <w:rsid w:val="003065E6"/>
    <w:rsid w:val="00321421"/>
    <w:rsid w:val="004C2A63"/>
    <w:rsid w:val="005C077E"/>
    <w:rsid w:val="008037C6"/>
    <w:rsid w:val="00822A5B"/>
    <w:rsid w:val="008B719F"/>
    <w:rsid w:val="00907B4B"/>
    <w:rsid w:val="00A37100"/>
    <w:rsid w:val="00A84F2F"/>
    <w:rsid w:val="00BD254D"/>
    <w:rsid w:val="00C17F74"/>
    <w:rsid w:val="00C3378B"/>
    <w:rsid w:val="00CF627E"/>
    <w:rsid w:val="00D57FC1"/>
    <w:rsid w:val="00D8713F"/>
    <w:rsid w:val="00DB2034"/>
    <w:rsid w:val="00E83B26"/>
    <w:rsid w:val="00E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24E"/>
  <w15:chartTrackingRefBased/>
  <w15:docId w15:val="{9CDED44D-1140-4D49-822D-7A30B4B0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142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21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2142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42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142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1A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C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dattica-deib@polimi.it" TargetMode="External"/><Relationship Id="rId5" Type="http://schemas.openxmlformats.org/officeDocument/2006/relationships/hyperlink" Target="mailto:didattica-deib@poli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Ferrario</dc:creator>
  <cp:keywords/>
  <dc:description/>
  <cp:lastModifiedBy>Natascia Passaro</cp:lastModifiedBy>
  <cp:revision>3</cp:revision>
  <dcterms:created xsi:type="dcterms:W3CDTF">2026-07-07T13:46:00Z</dcterms:created>
  <dcterms:modified xsi:type="dcterms:W3CDTF">2026-07-08T09:26:00Z</dcterms:modified>
</cp:coreProperties>
</file>